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77329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e13699f-7fee-4b1f-a86f-31ded65eae63"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2340cde9-9dd0-4457-9e13-e5710f0d482f" w:id="2"/>
      <w:r>
        <w:rPr>
          <w:rFonts w:ascii="Times New Roman" w:hAnsi="Times New Roman"/>
          <w:b/>
          <w:i w:val="false"/>
          <w:color w:val="000000"/>
          <w:sz w:val="28"/>
        </w:rPr>
        <w:t>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1088879)</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9d4b353-067d-40b4-9e10-968a93e21e67" w:id="3"/>
      <w:r>
        <w:rPr>
          <w:rFonts w:ascii="Times New Roman" w:hAnsi="Times New Roman"/>
          <w:b/>
          <w:i w:val="false"/>
          <w:color w:val="000000"/>
          <w:sz w:val="28"/>
        </w:rPr>
        <w:t>с.Тлярош</w:t>
      </w:r>
      <w:bookmarkEnd w:id="3"/>
      <w:r>
        <w:rPr>
          <w:rFonts w:ascii="Times New Roman" w:hAnsi="Times New Roman"/>
          <w:b/>
          <w:i w:val="false"/>
          <w:color w:val="000000"/>
          <w:sz w:val="28"/>
        </w:rPr>
        <w:t xml:space="preserve">‌ </w:t>
      </w:r>
      <w:bookmarkStart w:name="e17c6bbb-3fbd-4dc0-98b2-217b1bd29395" w:id="4"/>
      <w:r>
        <w:rPr>
          <w:rFonts w:ascii="Times New Roman" w:hAnsi="Times New Roman"/>
          <w:b/>
          <w:i w:val="false"/>
          <w:color w:val="000000"/>
          <w:sz w:val="28"/>
        </w:rPr>
        <w:t>2023 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7773291" w:id="5"/>
    <w:p>
      <w:pPr>
        <w:sectPr>
          <w:pgSz w:w="11906" w:h="16383" w:orient="portrait"/>
        </w:sectPr>
      </w:pPr>
    </w:p>
    <w:bookmarkEnd w:id="5"/>
    <w:bookmarkEnd w:id="0"/>
    <w:bookmarkStart w:name="block-7773290"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7773290" w:id="7"/>
    <w:p>
      <w:pPr>
        <w:sectPr>
          <w:pgSz w:w="11906" w:h="16383" w:orient="portrait"/>
        </w:sectPr>
      </w:pPr>
    </w:p>
    <w:bookmarkEnd w:id="7"/>
    <w:bookmarkEnd w:id="6"/>
    <w:bookmarkStart w:name="block-7773294" w:id="8"/>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7773294" w:id="9"/>
    <w:p>
      <w:pPr>
        <w:sectPr>
          <w:pgSz w:w="11906" w:h="16383" w:orient="portrait"/>
        </w:sectPr>
      </w:pPr>
    </w:p>
    <w:bookmarkEnd w:id="9"/>
    <w:bookmarkEnd w:id="8"/>
    <w:bookmarkStart w:name="block-7773292" w:id="10"/>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6"/>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6"/>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6"/>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7"/>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7"/>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7"/>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8"/>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pacing w:before="0" w:after="0" w:line="264"/>
        <w:ind w:firstLine="600"/>
        <w:jc w:val="both"/>
      </w:pP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7773292" w:id="11"/>
    <w:p>
      <w:pPr>
        <w:sectPr>
          <w:pgSz w:w="11906" w:h="16383" w:orient="portrait"/>
        </w:sectPr>
      </w:pPr>
    </w:p>
    <w:bookmarkEnd w:id="11"/>
    <w:bookmarkEnd w:id="10"/>
    <w:bookmarkStart w:name="block-777329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Раздел.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213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27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7773295" w:id="13"/>
    <w:p>
      <w:pPr>
        <w:sectPr>
          <w:pgSz w:w="16383" w:h="11906" w:orient="landscape"/>
        </w:sectPr>
      </w:pPr>
    </w:p>
    <w:bookmarkEnd w:id="13"/>
    <w:bookmarkEnd w:id="12"/>
    <w:bookmarkStart w:name="block-777329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69"/>
        <w:gridCol w:w="3600"/>
        <w:gridCol w:w="1066"/>
        <w:gridCol w:w="2043"/>
        <w:gridCol w:w="2194"/>
        <w:gridCol w:w="1538"/>
        <w:gridCol w:w="2684"/>
      </w:tblGrid>
      <w:tr>
        <w:trPr>
          <w:trHeight w:val="300" w:hRule="atLeast"/>
          <w:trHeight w:val="144" w:hRule="atLeast"/>
        </w:trPr>
        <w:tc>
          <w:tcPr>
            <w:tcW w:w="3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3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59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36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82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и государственного устройства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44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4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0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51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30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3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82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международные магистрали и транспортные узлы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0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8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темам: Зарубежная Европа. Зарубежная Азия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США и Канада, Латинская Америка: общая экономико-географическая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интеграции России в мировое сообщество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773293" w:id="15"/>
    <w:p>
      <w:pPr>
        <w:sectPr>
          <w:pgSz w:w="16383" w:h="11906" w:orient="landscape"/>
        </w:sectPr>
      </w:pPr>
    </w:p>
    <w:bookmarkEnd w:id="15"/>
    <w:bookmarkEnd w:id="14"/>
    <w:bookmarkStart w:name="block-777329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a5bb61c-2e1e-4c92-8fe7-f576740d0c55" w:id="17"/>
      <w:r>
        <w:rPr>
          <w:rFonts w:ascii="Times New Roman" w:hAnsi="Times New Roman"/>
          <w:b w:val="false"/>
          <w:i w:val="false"/>
          <w:color w:val="000000"/>
          <w:sz w:val="28"/>
        </w:rPr>
        <w:t>• География, 10 класс/ Гладкий Ю.Н., Николина В.В., Акционерное общество «Издательство «Просвещение»</w:t>
      </w:r>
      <w:bookmarkEnd w:id="17"/>
      <w:r>
        <w:rPr>
          <w:sz w:val="28"/>
        </w:rPr>
        <w:br/>
      </w:r>
      <w:bookmarkStart w:name="7a5bb61c-2e1e-4c92-8fe7-f576740d0c55" w:id="18"/>
      <w:r>
        <w:rPr>
          <w:rFonts w:ascii="Times New Roman" w:hAnsi="Times New Roman"/>
          <w:b w:val="false"/>
          <w:i w:val="false"/>
          <w:color w:val="000000"/>
          <w:sz w:val="28"/>
        </w:rPr>
        <w:t xml:space="preserve"> • География, 10-11 классы/ Максаковский В.П., Акционерное общество «Издательство «Просвещение»</w:t>
      </w:r>
      <w:bookmarkEnd w:id="18"/>
      <w:r>
        <w:rPr>
          <w:sz w:val="28"/>
        </w:rPr>
        <w:br/>
      </w:r>
      <w:bookmarkStart w:name="7a5bb61c-2e1e-4c92-8fe7-f576740d0c55" w:id="19"/>
      <w:r>
        <w:rPr>
          <w:rFonts w:ascii="Times New Roman" w:hAnsi="Times New Roman"/>
          <w:b w:val="false"/>
          <w:i w:val="false"/>
          <w:color w:val="000000"/>
          <w:sz w:val="28"/>
        </w:rPr>
        <w:t xml:space="preserve"> • География, 11 класс/ Гладкий Ю.Н., Николина В.В.,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da17c89-91d3-4ff7-8fb6-d8d0df2b8c8c" w:id="20"/>
      <w:r>
        <w:rPr>
          <w:rFonts w:ascii="Times New Roman" w:hAnsi="Times New Roman"/>
          <w:b w:val="false"/>
          <w:i w:val="false"/>
          <w:color w:val="000000"/>
          <w:sz w:val="28"/>
        </w:rPr>
        <w:t>.</w:t>
      </w:r>
      <w:bookmarkEnd w:id="20"/>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64cb0edb-4753-46fe-ab48-c3d8cb9cb019" w:id="21"/>
      <w:r>
        <w:rPr>
          <w:rFonts w:ascii="Times New Roman" w:hAnsi="Times New Roman"/>
          <w:b w:val="false"/>
          <w:i w:val="false"/>
          <w:color w:val="000000"/>
          <w:sz w:val="28"/>
        </w:rPr>
        <w:t>.</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54b9121d-fff4-432b-9675-1aa7bf21b4bc" w:id="22"/>
      <w:r>
        <w:rPr>
          <w:rFonts w:ascii="Times New Roman" w:hAnsi="Times New Roman"/>
          <w:b w:val="false"/>
          <w:i w:val="false"/>
          <w:color w:val="000000"/>
          <w:sz w:val="28"/>
        </w:rPr>
        <w:t>.</w:t>
      </w:r>
      <w:bookmarkEnd w:id="22"/>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7773296" w:id="23"/>
    <w:p>
      <w:pPr>
        <w:sectPr>
          <w:pgSz w:w="11906" w:h="16383" w:orient="portrait"/>
        </w:sectPr>
      </w:pPr>
    </w:p>
    <w:bookmarkEnd w:id="23"/>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